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2202" w14:textId="5AAD170E"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A229D7">
        <w:rPr>
          <w:rFonts w:ascii="Avenir LT Std 35 Light" w:hAnsi="Avenir LT Std 35 Light"/>
          <w:color w:val="114D61"/>
        </w:rPr>
        <w:t>30 octobre 2020</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661364E5">
                <wp:simplePos x="0" y="0"/>
                <wp:positionH relativeFrom="margin">
                  <wp:align>right</wp:align>
                </wp:positionH>
                <wp:positionV relativeFrom="paragraph">
                  <wp:posOffset>409575</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2E625598" w:rsidR="002B44DD" w:rsidRPr="002B44DD" w:rsidRDefault="00A229D7" w:rsidP="002B44DD">
                            <w:pPr>
                              <w:ind w:left="708" w:firstLine="708"/>
                              <w:rPr>
                                <w:rFonts w:ascii="Avenir LT Std 35 Light" w:hAnsi="Avenir LT Std 35 Light"/>
                                <w:sz w:val="40"/>
                                <w:szCs w:val="40"/>
                              </w:rPr>
                            </w:pPr>
                            <w:r>
                              <w:rPr>
                                <w:rFonts w:ascii="Avenir LT Std 35 Light" w:hAnsi="Avenir LT Std 35 Light"/>
                                <w:sz w:val="40"/>
                                <w:szCs w:val="40"/>
                              </w:rPr>
                              <w:t>ATTESTATION DE DEPLACEMENT</w:t>
                            </w:r>
                            <w:r w:rsidR="002B44DD">
                              <w:rPr>
                                <w:rFonts w:ascii="Avenir LT Std 35 Light" w:hAnsi="Avenir LT Std 35 Light"/>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" fillcolor="#114d61" strokecolor="#1f3763 [1604]" strokeweight="1pt">
                <v:textbox>
                  <w:txbxContent>
                    <w:p w14:paraId="221222BC" w14:textId="2E625598" w:rsidR="002B44DD" w:rsidRPr="002B44DD" w:rsidRDefault="00A229D7" w:rsidP="002B44DD">
                      <w:pPr>
                        <w:ind w:left="708" w:firstLine="708"/>
                        <w:rPr>
                          <w:rFonts w:ascii="Avenir LT Std 35 Light" w:hAnsi="Avenir LT Std 35 Light"/>
                          <w:sz w:val="40"/>
                          <w:szCs w:val="40"/>
                        </w:rPr>
                      </w:pPr>
                      <w:r>
                        <w:rPr>
                          <w:rFonts w:ascii="Avenir LT Std 35 Light" w:hAnsi="Avenir LT Std 35 Light"/>
                          <w:sz w:val="40"/>
                          <w:szCs w:val="40"/>
                        </w:rPr>
                        <w:t>ATTESTATION DE DEPLACEMENT</w:t>
                      </w:r>
                      <w:r w:rsidR="002B44DD">
                        <w:rPr>
                          <w:rFonts w:ascii="Avenir LT Std 35 Light" w:hAnsi="Avenir LT Std 35 Light"/>
                          <w:sz w:val="40"/>
                          <w:szCs w:val="40"/>
                        </w:rPr>
                        <w:t xml:space="preserve"> </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177C0914" w14:textId="77777777" w:rsidR="002B44DD" w:rsidRDefault="002B44DD" w:rsidP="0012071F">
      <w:pPr>
        <w:spacing w:after="0" w:line="240" w:lineRule="auto"/>
        <w:jc w:val="both"/>
        <w:rPr>
          <w:rFonts w:ascii="Avenir LT Std 65 Medium" w:hAnsi="Avenir LT Std 65 Medium" w:cstheme="minorHAnsi"/>
          <w:color w:val="114D61"/>
        </w:rPr>
      </w:pPr>
      <w:bookmarkStart w:id="2" w:name="_Hlk491878614"/>
    </w:p>
    <w:p w14:paraId="0C7504C8" w14:textId="77777777" w:rsidR="002B44DD" w:rsidRDefault="002B44DD" w:rsidP="0012071F">
      <w:pPr>
        <w:spacing w:after="0" w:line="240" w:lineRule="auto"/>
        <w:jc w:val="both"/>
        <w:rPr>
          <w:rFonts w:ascii="Avenir LT Std 65 Medium" w:hAnsi="Avenir LT Std 65 Medium" w:cstheme="minorHAnsi"/>
          <w:color w:val="114D61"/>
        </w:rPr>
      </w:pPr>
    </w:p>
    <w:bookmarkEnd w:id="1"/>
    <w:bookmarkEnd w:id="2"/>
    <w:p w14:paraId="1FC6AA12"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Depuis le 30 octobre, face à la dégradation sanitaire, un re-confinement est mis en place pour une durée, a minima, de 4 semaines.</w:t>
      </w:r>
    </w:p>
    <w:p w14:paraId="23773DD2"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308B6D7E"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De ce fait, les déplacements sont interdits sauf dans certains cas et en fournissant une attestation.</w:t>
      </w:r>
    </w:p>
    <w:p w14:paraId="6FF44A32"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09CF4EB0"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Des attestations permanentes sont disponibles pour :</w:t>
      </w:r>
    </w:p>
    <w:p w14:paraId="710A666A"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3707DE5B" w14:textId="77777777" w:rsidR="00A229D7" w:rsidRPr="00A229D7" w:rsidRDefault="00A229D7" w:rsidP="00A229D7">
      <w:pPr>
        <w:pStyle w:val="Paragraphedeliste"/>
        <w:numPr>
          <w:ilvl w:val="0"/>
          <w:numId w:val="4"/>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 xml:space="preserve">Les déplacements domicile travail </w:t>
      </w:r>
    </w:p>
    <w:p w14:paraId="43EA07A0" w14:textId="77777777" w:rsidR="00A229D7" w:rsidRPr="00A229D7" w:rsidRDefault="00A229D7" w:rsidP="00A229D7">
      <w:pPr>
        <w:pStyle w:val="Paragraphedeliste"/>
        <w:numPr>
          <w:ilvl w:val="0"/>
          <w:numId w:val="4"/>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déplacements pour amener les enfants à l’école</w:t>
      </w:r>
    </w:p>
    <w:p w14:paraId="0433524E"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3FE93142"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attestations pour déplacement professionnel doivent être faites par l’employeur. Elles précisent la durée de validité. Ce qui signifie qu’il n’est pas nécessaire de renouveler chaque jour ces attestations.</w:t>
      </w:r>
    </w:p>
    <w:p w14:paraId="70139048"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39931C28"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62E75">
        <w:rPr>
          <w:rFonts w:ascii="Avenir LT Std 35 Light" w:eastAsia="Times New Roman" w:hAnsi="Avenir LT Std 35 Light" w:cs="Times New Roman"/>
          <w:color w:val="000000"/>
        </w:rPr>
        <w:t>Les travailleurs non-salariés pour lesquels ce justificatif ne peut être établi, doivent en revanche se munir de "l’attestation de déplacement dérogatoire" utilisable par les particuliers, en cochant le premier motif de déplacement. </w:t>
      </w:r>
    </w:p>
    <w:p w14:paraId="5BAC0A10"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29E68E28"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Dans les autres cas autorisés dont la liste est la suivante, les personnes devront se munir d’attestations individuelles à remplir à chaque déplacement :</w:t>
      </w:r>
    </w:p>
    <w:p w14:paraId="0CE858F2" w14:textId="77777777" w:rsidR="00A229D7" w:rsidRPr="00A229D7" w:rsidRDefault="00A229D7" w:rsidP="00A229D7">
      <w:pPr>
        <w:spacing w:after="0" w:line="240" w:lineRule="auto"/>
        <w:jc w:val="both"/>
        <w:textAlignment w:val="baseline"/>
        <w:rPr>
          <w:rFonts w:ascii="Avenir LT Std 35 Light" w:eastAsia="Times New Roman" w:hAnsi="Avenir LT Std 35 Light" w:cs="Times New Roman"/>
          <w:color w:val="000000"/>
        </w:rPr>
      </w:pPr>
    </w:p>
    <w:p w14:paraId="48A8E92C"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383838"/>
        </w:rPr>
        <w:t xml:space="preserve">Les </w:t>
      </w:r>
      <w:r w:rsidRPr="00A229D7">
        <w:rPr>
          <w:rFonts w:ascii="Avenir LT Std 35 Light" w:eastAsia="Times New Roman" w:hAnsi="Avenir LT Std 35 Light" w:cs="Times New Roman"/>
          <w:color w:val="000000"/>
        </w:rPr>
        <w:t>déplacements entre le domicile et le lieu d'exercice de l'activité professionnelle ou les universités (ou établissements d’enseignement supérieur) pour les étudiants ou les centres de formation pour adultes et les déplacements professionnels ne pouvant être différés</w:t>
      </w:r>
    </w:p>
    <w:p w14:paraId="13060BBD"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déplacements pour effectuer des achats de fournitures nécessaires à l'activité professionnelle, des achats de première nécessité dans des établissements dont les activités demeurent autorisées (liste sur gouvernement.fr) et les livraisons à domicile ;</w:t>
      </w:r>
    </w:p>
    <w:p w14:paraId="69FD0176"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consultations et soins ne pouvant être assurés à distance et ne pouvant être différés et l’achat de médicaments ;</w:t>
      </w:r>
    </w:p>
    <w:p w14:paraId="2A2E07BA"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déplacements pour motif familial impérieux, pour l'assistance aux personnes vulnérables et précaires ou la garde d'enfants ;</w:t>
      </w:r>
    </w:p>
    <w:p w14:paraId="42EB27B6"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déplacements des personnes en situation de handicap et leur accompagnant ;</w:t>
      </w:r>
    </w:p>
    <w:p w14:paraId="525F5359"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déplacements brefs, dans la limite d'une heure quotidienne</w:t>
      </w:r>
      <w:r w:rsidRPr="00A229D7">
        <w:rPr>
          <w:rFonts w:ascii="Avenir LT Std 35 Light" w:eastAsia="Times New Roman" w:hAnsi="Avenir LT Std 35 Light" w:cs="Times New Roman"/>
          <w:color w:val="383838"/>
        </w:rPr>
        <w:t xml:space="preserve"> et dans un rayon maximal d'un kilomètre autour du domicile, liés soit à l'activité physique individuelle des personnes, à l'exclusion de toute pratique sportive collective et de toute proximité </w:t>
      </w:r>
      <w:r w:rsidRPr="00A229D7">
        <w:rPr>
          <w:rFonts w:ascii="Avenir LT Std 35 Light" w:eastAsia="Times New Roman" w:hAnsi="Avenir LT Std 35 Light" w:cs="Times New Roman"/>
          <w:color w:val="383838"/>
        </w:rPr>
        <w:lastRenderedPageBreak/>
        <w:t xml:space="preserve">avec d'autres personnes, soit à la promenade avec les seules personnes regroupées dans un même domicile, soit aux besoins des </w:t>
      </w:r>
      <w:r w:rsidRPr="00A229D7">
        <w:rPr>
          <w:rFonts w:ascii="Avenir LT Std 35 Light" w:eastAsia="Times New Roman" w:hAnsi="Avenir LT Std 35 Light" w:cs="Times New Roman"/>
          <w:color w:val="000000"/>
        </w:rPr>
        <w:t>animaux de compagnie ;</w:t>
      </w:r>
    </w:p>
    <w:p w14:paraId="2E0D5C31"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Les convocations judiciaires ou administratives et rendez-vous dans un service public ;</w:t>
      </w:r>
    </w:p>
    <w:p w14:paraId="51969BFE" w14:textId="77777777" w:rsidR="00A229D7" w:rsidRPr="00A229D7" w:rsidRDefault="00A229D7" w:rsidP="00A229D7">
      <w:pPr>
        <w:pStyle w:val="Paragraphedeliste"/>
        <w:numPr>
          <w:ilvl w:val="0"/>
          <w:numId w:val="3"/>
        </w:numPr>
        <w:spacing w:after="0" w:line="240" w:lineRule="auto"/>
        <w:jc w:val="both"/>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La participation à des missions d'intérêt général sur demande de l'autorité administrative.</w:t>
      </w:r>
    </w:p>
    <w:p w14:paraId="19EB3119" w14:textId="77777777" w:rsidR="00A229D7" w:rsidRPr="00A62E75" w:rsidRDefault="00A229D7" w:rsidP="00A229D7">
      <w:pPr>
        <w:spacing w:after="0" w:line="240" w:lineRule="auto"/>
        <w:textAlignment w:val="baseline"/>
        <w:rPr>
          <w:rFonts w:ascii="Avenir LT Std 35 Light" w:eastAsia="Times New Roman" w:hAnsi="Avenir LT Std 35 Light" w:cs="Times New Roman"/>
          <w:color w:val="000000"/>
        </w:rPr>
      </w:pPr>
    </w:p>
    <w:p w14:paraId="6EC74D0B"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r w:rsidRPr="00A62E75">
        <w:rPr>
          <w:rFonts w:ascii="Avenir LT Std 35 Light" w:eastAsia="Times New Roman" w:hAnsi="Avenir LT Std 35 Light" w:cs="Times New Roman"/>
          <w:color w:val="000000"/>
        </w:rPr>
        <w:t xml:space="preserve">Le </w:t>
      </w:r>
      <w:r w:rsidRPr="00A229D7">
        <w:rPr>
          <w:rFonts w:ascii="Avenir LT Std 35 Light" w:eastAsia="Times New Roman" w:hAnsi="Avenir LT Std 35 Light" w:cs="Times New Roman"/>
          <w:color w:val="000000"/>
        </w:rPr>
        <w:t>non-respect</w:t>
      </w:r>
      <w:r w:rsidRPr="00A62E75">
        <w:rPr>
          <w:rFonts w:ascii="Avenir LT Std 35 Light" w:eastAsia="Times New Roman" w:hAnsi="Avenir LT Std 35 Light" w:cs="Times New Roman"/>
          <w:color w:val="000000"/>
        </w:rPr>
        <w:t xml:space="preserve"> du </w:t>
      </w:r>
      <w:r w:rsidRPr="00A229D7">
        <w:rPr>
          <w:rFonts w:ascii="Avenir LT Std 35 Light" w:eastAsia="Times New Roman" w:hAnsi="Avenir LT Std 35 Light" w:cs="Times New Roman"/>
          <w:color w:val="000000"/>
        </w:rPr>
        <w:t>re-confinement</w:t>
      </w:r>
      <w:r w:rsidRPr="00A62E75">
        <w:rPr>
          <w:rFonts w:ascii="Avenir LT Std 35 Light" w:eastAsia="Times New Roman" w:hAnsi="Avenir LT Std 35 Light" w:cs="Times New Roman"/>
          <w:color w:val="000000"/>
        </w:rPr>
        <w:t xml:space="preserve"> est passible d’une amende de 135 €.</w:t>
      </w:r>
    </w:p>
    <w:p w14:paraId="6EE38B57"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p>
    <w:p w14:paraId="2A657B9F"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p>
    <w:p w14:paraId="124455B6" w14:textId="77777777" w:rsidR="00A229D7" w:rsidRPr="00A62E75" w:rsidRDefault="00A229D7" w:rsidP="00A229D7">
      <w:pPr>
        <w:spacing w:after="0" w:line="240" w:lineRule="auto"/>
        <w:textAlignment w:val="baseline"/>
        <w:outlineLvl w:val="1"/>
        <w:rPr>
          <w:rFonts w:ascii="Avenir LT Std 35 Light" w:eastAsia="Times New Roman" w:hAnsi="Avenir LT Std 35 Light" w:cs="Times New Roman"/>
          <w:b/>
          <w:bCs/>
          <w:color w:val="000000"/>
        </w:rPr>
      </w:pPr>
      <w:r w:rsidRPr="00A62E75">
        <w:rPr>
          <w:rFonts w:ascii="Avenir LT Std 35 Light" w:eastAsia="Times New Roman" w:hAnsi="Avenir LT Std 35 Light" w:cs="Times New Roman"/>
          <w:b/>
          <w:bCs/>
          <w:color w:val="000000"/>
        </w:rPr>
        <w:t>Documents utiles</w:t>
      </w:r>
    </w:p>
    <w:p w14:paraId="6298DD83"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p>
    <w:p w14:paraId="7D2984C6" w14:textId="77777777" w:rsidR="00A229D7" w:rsidRDefault="00A229D7" w:rsidP="00A229D7">
      <w:pPr>
        <w:spacing w:after="0" w:line="240" w:lineRule="auto"/>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 xml:space="preserve">Justificatif de déplacement professionnel : </w:t>
      </w:r>
      <w:r w:rsidRPr="00A229D7">
        <w:rPr>
          <w:rFonts w:ascii="Avenir LT Std 35 Light" w:eastAsia="Times New Roman" w:hAnsi="Avenir LT Std 35 Light" w:cs="Times New Roman"/>
          <w:color w:val="000000"/>
        </w:rPr>
        <w:tab/>
      </w:r>
      <w:r w:rsidRPr="00A229D7">
        <w:rPr>
          <w:rFonts w:ascii="Avenir LT Std 35 Light" w:eastAsia="Times New Roman" w:hAnsi="Avenir LT Std 35 Light" w:cs="Times New Roman"/>
          <w:color w:val="000000"/>
        </w:rPr>
        <w:tab/>
      </w:r>
      <w:hyperlink r:id="rId9" w:history="1">
        <w:r w:rsidRPr="00A229D7">
          <w:rPr>
            <w:rStyle w:val="Lienhypertexte"/>
            <w:rFonts w:ascii="Avenir LT Std 35 Light" w:eastAsia="Times New Roman" w:hAnsi="Avenir LT Std 35 Light" w:cs="Times New Roman"/>
          </w:rPr>
          <w:t>au format PDF</w:t>
        </w:r>
      </w:hyperlink>
      <w:r w:rsidRPr="00A229D7">
        <w:rPr>
          <w:rFonts w:ascii="Avenir LT Std 35 Light" w:eastAsia="Times New Roman" w:hAnsi="Avenir LT Std 35 Light" w:cs="Times New Roman"/>
          <w:color w:val="000000"/>
        </w:rPr>
        <w:tab/>
      </w:r>
      <w:r w:rsidRPr="00A229D7">
        <w:rPr>
          <w:rFonts w:ascii="Avenir LT Std 35 Light" w:eastAsia="Times New Roman" w:hAnsi="Avenir LT Std 35 Light" w:cs="Times New Roman"/>
          <w:color w:val="000000"/>
        </w:rPr>
        <w:tab/>
        <w:t xml:space="preserve">au format DOCX </w:t>
      </w:r>
    </w:p>
    <w:p w14:paraId="1D76E5D9" w14:textId="2ECB5716" w:rsidR="00A229D7" w:rsidRPr="00A229D7" w:rsidRDefault="007F623E" w:rsidP="00A229D7">
      <w:pPr>
        <w:spacing w:after="0" w:line="240" w:lineRule="auto"/>
        <w:ind w:left="7080"/>
        <w:textAlignment w:val="baseline"/>
        <w:rPr>
          <w:rFonts w:ascii="Avenir LT Std 35 Light" w:eastAsia="Times New Roman" w:hAnsi="Avenir LT Std 35 Light" w:cs="Times New Roman"/>
          <w:color w:val="FF0000"/>
        </w:rPr>
      </w:pPr>
      <w:r>
        <w:rPr>
          <w:rFonts w:ascii="Avenir LT Std 35 Light" w:eastAsia="Times New Roman" w:hAnsi="Avenir LT Std 35 Light" w:cs="Times New Roman"/>
          <w:color w:val="FF0000"/>
        </w:rPr>
        <w:t>(</w:t>
      </w:r>
      <w:r w:rsidR="00A229D7" w:rsidRPr="00A229D7">
        <w:rPr>
          <w:rFonts w:ascii="Avenir LT Std 35 Light" w:eastAsia="Times New Roman" w:hAnsi="Avenir LT Std 35 Light" w:cs="Times New Roman"/>
          <w:color w:val="FF0000"/>
        </w:rPr>
        <w:t>pièce jointe)</w:t>
      </w:r>
    </w:p>
    <w:p w14:paraId="755C87F3"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p>
    <w:p w14:paraId="79D87879" w14:textId="77777777" w:rsidR="00A229D7" w:rsidRPr="00A229D7" w:rsidRDefault="00A229D7" w:rsidP="00A229D7">
      <w:pPr>
        <w:spacing w:after="0" w:line="240" w:lineRule="auto"/>
        <w:textAlignment w:val="baseline"/>
        <w:rPr>
          <w:rFonts w:ascii="Avenir LT Std 35 Light" w:eastAsia="Times New Roman" w:hAnsi="Avenir LT Std 35 Light" w:cs="Times New Roman"/>
          <w:color w:val="000000"/>
        </w:rPr>
      </w:pPr>
      <w:r w:rsidRPr="00A229D7">
        <w:rPr>
          <w:rFonts w:ascii="Avenir LT Std 35 Light" w:eastAsia="Times New Roman" w:hAnsi="Avenir LT Std 35 Light" w:cs="Times New Roman"/>
          <w:color w:val="000000"/>
        </w:rPr>
        <w:t xml:space="preserve">Justificatif de déplacement scolaire : </w:t>
      </w:r>
      <w:r w:rsidRPr="00A229D7">
        <w:rPr>
          <w:rFonts w:ascii="Avenir LT Std 35 Light" w:eastAsia="Times New Roman" w:hAnsi="Avenir LT Std 35 Light" w:cs="Times New Roman"/>
          <w:color w:val="000000"/>
        </w:rPr>
        <w:tab/>
      </w:r>
      <w:r w:rsidRPr="00A229D7">
        <w:rPr>
          <w:rFonts w:ascii="Avenir LT Std 35 Light" w:eastAsia="Times New Roman" w:hAnsi="Avenir LT Std 35 Light" w:cs="Times New Roman"/>
          <w:color w:val="000000"/>
        </w:rPr>
        <w:tab/>
      </w:r>
      <w:hyperlink r:id="rId10" w:history="1">
        <w:r w:rsidRPr="00A229D7">
          <w:rPr>
            <w:rStyle w:val="Lienhypertexte"/>
            <w:rFonts w:ascii="Avenir LT Std 35 Light" w:eastAsia="Times New Roman" w:hAnsi="Avenir LT Std 35 Light" w:cs="Times New Roman"/>
          </w:rPr>
          <w:t>au format PDF</w:t>
        </w:r>
      </w:hyperlink>
      <w:r w:rsidRPr="00A229D7">
        <w:rPr>
          <w:rFonts w:ascii="Avenir LT Std 35 Light" w:eastAsia="Times New Roman" w:hAnsi="Avenir LT Std 35 Light" w:cs="Times New Roman"/>
          <w:color w:val="000000"/>
        </w:rPr>
        <w:tab/>
      </w:r>
      <w:r w:rsidRPr="00A229D7">
        <w:rPr>
          <w:rFonts w:ascii="Avenir LT Std 35 Light" w:eastAsia="Times New Roman" w:hAnsi="Avenir LT Std 35 Light" w:cs="Times New Roman"/>
          <w:color w:val="000000"/>
        </w:rPr>
        <w:tab/>
        <w:t>au format DOCX</w:t>
      </w:r>
    </w:p>
    <w:p w14:paraId="05BFA858" w14:textId="7717CEBB" w:rsidR="00A229D7" w:rsidRPr="00A229D7" w:rsidRDefault="007F623E" w:rsidP="00A229D7">
      <w:pPr>
        <w:spacing w:after="0" w:line="240" w:lineRule="auto"/>
        <w:ind w:left="7080"/>
        <w:textAlignment w:val="baseline"/>
        <w:rPr>
          <w:rFonts w:ascii="Avenir LT Std 35 Light" w:eastAsia="Times New Roman" w:hAnsi="Avenir LT Std 35 Light" w:cs="Times New Roman"/>
          <w:color w:val="FF0000"/>
        </w:rPr>
      </w:pPr>
      <w:r>
        <w:rPr>
          <w:rFonts w:ascii="Avenir LT Std 35 Light" w:eastAsia="Times New Roman" w:hAnsi="Avenir LT Std 35 Light" w:cs="Times New Roman"/>
          <w:color w:val="FF0000"/>
        </w:rPr>
        <w:t>(</w:t>
      </w:r>
      <w:r w:rsidR="00A229D7" w:rsidRPr="00A229D7">
        <w:rPr>
          <w:rFonts w:ascii="Avenir LT Std 35 Light" w:eastAsia="Times New Roman" w:hAnsi="Avenir LT Std 35 Light" w:cs="Times New Roman"/>
          <w:color w:val="FF0000"/>
        </w:rPr>
        <w:t>pièce jointe)</w:t>
      </w:r>
    </w:p>
    <w:p w14:paraId="6203E2CC" w14:textId="77777777" w:rsidR="00A229D7" w:rsidRPr="00A62E75" w:rsidRDefault="00A229D7" w:rsidP="00A229D7">
      <w:pPr>
        <w:spacing w:after="0" w:line="240" w:lineRule="auto"/>
        <w:textAlignment w:val="baseline"/>
        <w:rPr>
          <w:rFonts w:ascii="Avenir LT Std 35 Light" w:eastAsia="Times New Roman" w:hAnsi="Avenir LT Std 35 Light" w:cs="Times New Roman"/>
          <w:color w:val="000000"/>
        </w:rPr>
      </w:pPr>
    </w:p>
    <w:p w14:paraId="184D0506" w14:textId="77777777" w:rsidR="00A229D7" w:rsidRPr="00A229D7" w:rsidRDefault="00A229D7" w:rsidP="00A229D7">
      <w:pPr>
        <w:spacing w:after="0" w:line="240" w:lineRule="auto"/>
        <w:rPr>
          <w:rFonts w:ascii="Avenir LT Std 35 Light" w:hAnsi="Avenir LT Std 35 Light"/>
        </w:rPr>
      </w:pPr>
      <w:r w:rsidRPr="00A229D7">
        <w:rPr>
          <w:rFonts w:ascii="Avenir LT Std 35 Light" w:hAnsi="Avenir LT Std 35 Light"/>
        </w:rPr>
        <w:t>Attestation de déplacement dérogatoire</w:t>
      </w:r>
      <w:r w:rsidRPr="00A229D7">
        <w:rPr>
          <w:rFonts w:ascii="Avenir LT Std 35 Light" w:hAnsi="Avenir LT Std 35 Light"/>
        </w:rPr>
        <w:tab/>
      </w:r>
      <w:r w:rsidRPr="00A229D7">
        <w:rPr>
          <w:rFonts w:ascii="Avenir LT Std 35 Light" w:hAnsi="Avenir LT Std 35 Light"/>
        </w:rPr>
        <w:tab/>
      </w:r>
      <w:hyperlink r:id="rId11" w:history="1">
        <w:r w:rsidRPr="00A229D7">
          <w:rPr>
            <w:rStyle w:val="Lienhypertexte"/>
            <w:rFonts w:ascii="Avenir LT Std 35 Light" w:eastAsia="Times New Roman" w:hAnsi="Avenir LT Std 35 Light" w:cs="Times New Roman"/>
          </w:rPr>
          <w:t>au format PDF</w:t>
        </w:r>
      </w:hyperlink>
      <w:r w:rsidRPr="00A229D7">
        <w:rPr>
          <w:rFonts w:ascii="Avenir LT Std 35 Light" w:eastAsia="Times New Roman" w:hAnsi="Avenir LT Std 35 Light" w:cs="Times New Roman"/>
          <w:color w:val="000000"/>
        </w:rPr>
        <w:tab/>
      </w:r>
      <w:r w:rsidRPr="00A229D7">
        <w:rPr>
          <w:rFonts w:ascii="Avenir LT Std 35 Light" w:eastAsia="Times New Roman" w:hAnsi="Avenir LT Std 35 Light" w:cs="Times New Roman"/>
          <w:color w:val="000000"/>
        </w:rPr>
        <w:tab/>
        <w:t>au format DOCX</w:t>
      </w:r>
    </w:p>
    <w:p w14:paraId="65B1B0BD" w14:textId="55B5671F" w:rsidR="00A229D7" w:rsidRPr="00A229D7" w:rsidRDefault="007F623E" w:rsidP="00A229D7">
      <w:pPr>
        <w:spacing w:after="0" w:line="240" w:lineRule="auto"/>
        <w:ind w:left="7080"/>
        <w:textAlignment w:val="baseline"/>
        <w:rPr>
          <w:rFonts w:ascii="Avenir LT Std 35 Light" w:eastAsia="Times New Roman" w:hAnsi="Avenir LT Std 35 Light" w:cs="Times New Roman"/>
          <w:color w:val="FF0000"/>
        </w:rPr>
      </w:pPr>
      <w:r>
        <w:rPr>
          <w:rFonts w:ascii="Avenir LT Std 35 Light" w:eastAsia="Times New Roman" w:hAnsi="Avenir LT Std 35 Light" w:cs="Times New Roman"/>
          <w:color w:val="FF0000"/>
        </w:rPr>
        <w:t>(</w:t>
      </w:r>
      <w:r w:rsidR="00A229D7" w:rsidRPr="00A229D7">
        <w:rPr>
          <w:rFonts w:ascii="Avenir LT Std 35 Light" w:eastAsia="Times New Roman" w:hAnsi="Avenir LT Std 35 Light" w:cs="Times New Roman"/>
          <w:color w:val="FF0000"/>
        </w:rPr>
        <w:t>pièce jointe)</w:t>
      </w:r>
    </w:p>
    <w:p w14:paraId="20E52179" w14:textId="1BBF4C0E" w:rsidR="00A229D7" w:rsidRPr="00A229D7" w:rsidRDefault="00A229D7" w:rsidP="00A229D7">
      <w:pPr>
        <w:spacing w:after="0" w:line="240" w:lineRule="auto"/>
        <w:rPr>
          <w:rFonts w:ascii="Avenir LT Std 35 Light" w:hAnsi="Avenir LT Std 35 Light"/>
        </w:rPr>
      </w:pPr>
    </w:p>
    <w:p w14:paraId="2765089F" w14:textId="77777777" w:rsidR="00EC27E0" w:rsidRPr="00A229D7" w:rsidRDefault="00EC27E0" w:rsidP="00A229D7">
      <w:pPr>
        <w:spacing w:after="0" w:line="240" w:lineRule="auto"/>
        <w:rPr>
          <w:rFonts w:ascii="Avenir LT Std 35 Light" w:hAnsi="Avenir LT Std 35 Light"/>
          <w:color w:val="C00000"/>
          <w:sz w:val="28"/>
          <w:szCs w:val="28"/>
        </w:rPr>
      </w:pPr>
    </w:p>
    <w:sectPr w:rsidR="00EC27E0" w:rsidRPr="00A229D7" w:rsidSect="00683500">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CB92" w14:textId="77777777" w:rsidR="00CA2D65" w:rsidRDefault="00CA2D65" w:rsidP="00CA6A76">
      <w:pPr>
        <w:spacing w:after="0" w:line="240" w:lineRule="auto"/>
      </w:pPr>
      <w:r>
        <w:separator/>
      </w:r>
    </w:p>
  </w:endnote>
  <w:endnote w:type="continuationSeparator" w:id="0">
    <w:p w14:paraId="61C811BC" w14:textId="77777777" w:rsidR="00CA2D65" w:rsidRDefault="00CA2D65"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54200" w14:textId="7C74A0F4" w:rsidR="00CA6A76" w:rsidRPr="00C366CA" w:rsidRDefault="00C366CA" w:rsidP="00C366CA">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Sociales et de la Formation</w:t>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sidRPr="007C3831">
      <w:rPr>
        <w:rFonts w:ascii="Avenir LT Std 35 Light" w:hAnsi="Avenir LT Std 35 Light" w:cs="Arial"/>
        <w:color w:val="000000" w:themeColor="text1"/>
        <w:sz w:val="20"/>
        <w:szCs w:val="20"/>
      </w:rPr>
      <w:t xml:space="preserve">Page | </w:t>
    </w:r>
    <w:r w:rsidR="00076F5D" w:rsidRPr="007C3831">
      <w:rPr>
        <w:rFonts w:ascii="Avenir LT Std 35 Light" w:hAnsi="Avenir LT Std 35 Light" w:cs="Arial"/>
        <w:color w:val="000000" w:themeColor="text1"/>
        <w:sz w:val="20"/>
        <w:szCs w:val="20"/>
      </w:rPr>
      <w:fldChar w:fldCharType="begin"/>
    </w:r>
    <w:r w:rsidR="00076F5D" w:rsidRPr="007C3831">
      <w:rPr>
        <w:rFonts w:ascii="Avenir LT Std 35 Light" w:hAnsi="Avenir LT Std 35 Light" w:cs="Arial"/>
        <w:color w:val="000000" w:themeColor="text1"/>
        <w:sz w:val="20"/>
        <w:szCs w:val="20"/>
      </w:rPr>
      <w:instrText>PAGE   \* MERGEFORMAT</w:instrText>
    </w:r>
    <w:r w:rsidR="00076F5D" w:rsidRPr="007C3831">
      <w:rPr>
        <w:rFonts w:ascii="Avenir LT Std 35 Light" w:hAnsi="Avenir LT Std 35 Light" w:cs="Arial"/>
        <w:color w:val="000000" w:themeColor="text1"/>
        <w:sz w:val="20"/>
        <w:szCs w:val="20"/>
      </w:rPr>
      <w:fldChar w:fldCharType="separate"/>
    </w:r>
    <w:r w:rsidR="00076F5D">
      <w:rPr>
        <w:rFonts w:ascii="Avenir LT Std 35 Light" w:hAnsi="Avenir LT Std 35 Light" w:cs="Arial"/>
        <w:noProof/>
        <w:color w:val="000000" w:themeColor="text1"/>
        <w:sz w:val="20"/>
        <w:szCs w:val="20"/>
      </w:rPr>
      <w:t>1</w:t>
    </w:r>
    <w:r w:rsidR="00076F5D" w:rsidRPr="007C3831">
      <w:rPr>
        <w:rFonts w:ascii="Avenir LT Std 35 Light" w:hAnsi="Avenir LT Std 35 Light"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3D4B" w14:textId="77777777" w:rsidR="00CA2D65" w:rsidRDefault="00CA2D65" w:rsidP="00CA6A76">
      <w:pPr>
        <w:spacing w:after="0" w:line="240" w:lineRule="auto"/>
      </w:pPr>
      <w:r>
        <w:separator/>
      </w:r>
    </w:p>
  </w:footnote>
  <w:footnote w:type="continuationSeparator" w:id="0">
    <w:p w14:paraId="0D8D5C94" w14:textId="77777777" w:rsidR="00CA2D65" w:rsidRDefault="00CA2D65"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752"/>
    <w:multiLevelType w:val="hybridMultilevel"/>
    <w:tmpl w:val="FA680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26B7A41"/>
    <w:multiLevelType w:val="hybridMultilevel"/>
    <w:tmpl w:val="C6D8F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36A3C"/>
    <w:rsid w:val="00067B60"/>
    <w:rsid w:val="00076F5D"/>
    <w:rsid w:val="000E29BA"/>
    <w:rsid w:val="0012071F"/>
    <w:rsid w:val="00133128"/>
    <w:rsid w:val="001369DF"/>
    <w:rsid w:val="001650C4"/>
    <w:rsid w:val="00172BE2"/>
    <w:rsid w:val="00190244"/>
    <w:rsid w:val="001F4C99"/>
    <w:rsid w:val="00254909"/>
    <w:rsid w:val="002615AD"/>
    <w:rsid w:val="002A1D6B"/>
    <w:rsid w:val="002B44DD"/>
    <w:rsid w:val="00306EC5"/>
    <w:rsid w:val="00325564"/>
    <w:rsid w:val="0037008A"/>
    <w:rsid w:val="003900C4"/>
    <w:rsid w:val="003A59F5"/>
    <w:rsid w:val="003A60C7"/>
    <w:rsid w:val="003D3D87"/>
    <w:rsid w:val="00401C86"/>
    <w:rsid w:val="00412AED"/>
    <w:rsid w:val="00477541"/>
    <w:rsid w:val="004F5F2D"/>
    <w:rsid w:val="00566D7D"/>
    <w:rsid w:val="0057442E"/>
    <w:rsid w:val="00593F54"/>
    <w:rsid w:val="005A009A"/>
    <w:rsid w:val="006030AB"/>
    <w:rsid w:val="00683500"/>
    <w:rsid w:val="006A4E60"/>
    <w:rsid w:val="007F507E"/>
    <w:rsid w:val="007F623E"/>
    <w:rsid w:val="008C0B0A"/>
    <w:rsid w:val="0091215D"/>
    <w:rsid w:val="00912B0A"/>
    <w:rsid w:val="00923C7D"/>
    <w:rsid w:val="009336E8"/>
    <w:rsid w:val="009622CF"/>
    <w:rsid w:val="009628A9"/>
    <w:rsid w:val="00967432"/>
    <w:rsid w:val="00A229D7"/>
    <w:rsid w:val="00A33D1F"/>
    <w:rsid w:val="00A37020"/>
    <w:rsid w:val="00A41A23"/>
    <w:rsid w:val="00A66CE3"/>
    <w:rsid w:val="00AB5DC3"/>
    <w:rsid w:val="00AC21F5"/>
    <w:rsid w:val="00AD338E"/>
    <w:rsid w:val="00AE1AE7"/>
    <w:rsid w:val="00AF76ED"/>
    <w:rsid w:val="00B024D3"/>
    <w:rsid w:val="00B369AA"/>
    <w:rsid w:val="00B9731A"/>
    <w:rsid w:val="00BD1CC1"/>
    <w:rsid w:val="00BF61B6"/>
    <w:rsid w:val="00C366CA"/>
    <w:rsid w:val="00C752C8"/>
    <w:rsid w:val="00C8167A"/>
    <w:rsid w:val="00CA2D65"/>
    <w:rsid w:val="00CA3176"/>
    <w:rsid w:val="00CA6A76"/>
    <w:rsid w:val="00CF54C6"/>
    <w:rsid w:val="00D822AA"/>
    <w:rsid w:val="00DD08E5"/>
    <w:rsid w:val="00DE3263"/>
    <w:rsid w:val="00DE55B7"/>
    <w:rsid w:val="00E246D8"/>
    <w:rsid w:val="00E70473"/>
    <w:rsid w:val="00EC27E0"/>
    <w:rsid w:val="00F31610"/>
    <w:rsid w:val="00FB25E5"/>
    <w:rsid w:val="00FB2D14"/>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A229D7"/>
    <w:rPr>
      <w:color w:val="0000FF"/>
      <w:u w:val="single"/>
    </w:rPr>
  </w:style>
  <w:style w:type="character" w:styleId="Lienhypertextesuivivisit">
    <w:name w:val="FollowedHyperlink"/>
    <w:basedOn w:val="Policepardfaut"/>
    <w:uiPriority w:val="99"/>
    <w:semiHidden/>
    <w:unhideWhenUsed/>
    <w:rsid w:val="00A22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uvernement.fr/sites/default/files/30-10-2020-attestation-de-deplacement-derogatoire.pdf" TargetMode="External"/><Relationship Id="rId5" Type="http://schemas.openxmlformats.org/officeDocument/2006/relationships/footnotes" Target="footnotes.xml"/><Relationship Id="rId10" Type="http://schemas.openxmlformats.org/officeDocument/2006/relationships/hyperlink" Target="https://www.gouvernement.fr/sites/default/files/30-10-2020-justificatif-de-deplacement-scolaire.pdf" TargetMode="External"/><Relationship Id="rId4" Type="http://schemas.openxmlformats.org/officeDocument/2006/relationships/webSettings" Target="webSettings.xml"/><Relationship Id="rId9" Type="http://schemas.openxmlformats.org/officeDocument/2006/relationships/hyperlink" Target="https://www.gouvernement.fr/sites/default/files/30-10-2020-justificatif-de-deplacement-professionnel.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Martine Gouriou</cp:lastModifiedBy>
  <cp:revision>4</cp:revision>
  <cp:lastPrinted>2020-01-16T13:22:00Z</cp:lastPrinted>
  <dcterms:created xsi:type="dcterms:W3CDTF">2020-10-30T09:52:00Z</dcterms:created>
  <dcterms:modified xsi:type="dcterms:W3CDTF">2020-10-30T10:24:00Z</dcterms:modified>
</cp:coreProperties>
</file>